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42" w:rsidRDefault="00E60B42" w:rsidP="00E60B42">
      <w:pPr>
        <w:jc w:val="center"/>
      </w:pPr>
    </w:p>
    <w:p w:rsidR="00E60B42" w:rsidRPr="00E61868" w:rsidRDefault="00E60B42" w:rsidP="00E60B42">
      <w:pPr>
        <w:jc w:val="center"/>
        <w:rPr>
          <w:b/>
          <w:sz w:val="28"/>
        </w:rPr>
      </w:pPr>
      <w:r w:rsidRPr="00E61868">
        <w:rPr>
          <w:b/>
          <w:sz w:val="28"/>
        </w:rPr>
        <w:t>Osmania University</w:t>
      </w:r>
    </w:p>
    <w:p w:rsidR="00E60B42" w:rsidRPr="00E61868" w:rsidRDefault="00E60B42" w:rsidP="00E60B42">
      <w:pPr>
        <w:jc w:val="center"/>
        <w:rPr>
          <w:b/>
          <w:sz w:val="28"/>
        </w:rPr>
      </w:pPr>
      <w:r w:rsidRPr="00E61868">
        <w:rPr>
          <w:b/>
          <w:sz w:val="28"/>
        </w:rPr>
        <w:t>Annual Quality Assurance Report (AQAR) of the IQAC</w:t>
      </w:r>
    </w:p>
    <w:p w:rsidR="00E60B42" w:rsidRPr="00E61868" w:rsidRDefault="00E60B42" w:rsidP="00E60B42">
      <w:pPr>
        <w:jc w:val="center"/>
        <w:rPr>
          <w:b/>
          <w:sz w:val="28"/>
        </w:rPr>
      </w:pPr>
      <w:r w:rsidRPr="00E61868">
        <w:rPr>
          <w:b/>
          <w:sz w:val="28"/>
        </w:rPr>
        <w:t>2023-2024(July 01</w:t>
      </w:r>
      <w:r w:rsidR="00E61868" w:rsidRPr="00E61868">
        <w:rPr>
          <w:b/>
          <w:sz w:val="28"/>
        </w:rPr>
        <w:t>, 2023</w:t>
      </w:r>
      <w:r w:rsidRPr="00E61868">
        <w:rPr>
          <w:b/>
          <w:sz w:val="28"/>
        </w:rPr>
        <w:t xml:space="preserve"> to June 30.2024</w:t>
      </w:r>
      <w:r w:rsidR="00E61868" w:rsidRPr="00E61868">
        <w:rPr>
          <w:b/>
          <w:sz w:val="28"/>
        </w:rPr>
        <w:t>)</w:t>
      </w:r>
    </w:p>
    <w:p w:rsidR="00E60B42" w:rsidRDefault="00E60B42" w:rsidP="00E60B42"/>
    <w:tbl>
      <w:tblPr>
        <w:tblpPr w:leftFromText="180" w:rightFromText="180" w:vertAnchor="page" w:horzAnchor="margin" w:tblpY="3196"/>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825"/>
      </w:tblGrid>
      <w:tr w:rsidR="00E61868" w:rsidRPr="00977BF6" w:rsidTr="00E61868">
        <w:trPr>
          <w:trHeight w:val="935"/>
        </w:trPr>
        <w:tc>
          <w:tcPr>
            <w:tcW w:w="1084" w:type="dxa"/>
            <w:shd w:val="clear" w:color="auto" w:fill="C9C9C9" w:themeFill="accent3" w:themeFillTint="99"/>
          </w:tcPr>
          <w:p w:rsidR="00E61868" w:rsidRDefault="00E61868" w:rsidP="00E61868">
            <w:pPr>
              <w:pStyle w:val="TableParagraph"/>
              <w:rPr>
                <w:b/>
                <w:bCs/>
                <w:sz w:val="20"/>
                <w:szCs w:val="20"/>
                <w:lang w:eastAsia="en-IN"/>
              </w:rPr>
            </w:pPr>
            <w:r>
              <w:rPr>
                <w:b/>
                <w:bCs/>
                <w:sz w:val="20"/>
                <w:szCs w:val="20"/>
                <w:lang w:eastAsia="en-IN"/>
              </w:rPr>
              <w:t>2.3.5</w:t>
            </w:r>
          </w:p>
          <w:p w:rsidR="00E61868" w:rsidRPr="008452A3" w:rsidRDefault="00E61868" w:rsidP="00E61868">
            <w:pPr>
              <w:pStyle w:val="TableParagraph"/>
              <w:rPr>
                <w:b/>
                <w:bCs/>
                <w:sz w:val="20"/>
                <w:szCs w:val="20"/>
                <w:lang w:eastAsia="en-IN"/>
              </w:rPr>
            </w:pPr>
            <w:proofErr w:type="spellStart"/>
            <w:r w:rsidRPr="00977BF6">
              <w:rPr>
                <w:b/>
                <w:bCs/>
                <w:sz w:val="20"/>
                <w:szCs w:val="20"/>
                <w:lang w:eastAsia="en-IN"/>
              </w:rPr>
              <w:t>Q</w:t>
            </w:r>
            <w:r w:rsidRPr="00977BF6">
              <w:rPr>
                <w:b/>
                <w:bCs/>
                <w:sz w:val="20"/>
                <w:szCs w:val="20"/>
                <w:vertAlign w:val="subscript"/>
                <w:lang w:eastAsia="en-IN"/>
              </w:rPr>
              <w:t>l</w:t>
            </w:r>
            <w:r w:rsidRPr="00977BF6">
              <w:rPr>
                <w:b/>
                <w:bCs/>
                <w:sz w:val="20"/>
                <w:szCs w:val="20"/>
                <w:lang w:eastAsia="en-IN"/>
              </w:rPr>
              <w:t>M</w:t>
            </w:r>
            <w:proofErr w:type="spellEnd"/>
          </w:p>
        </w:tc>
        <w:tc>
          <w:tcPr>
            <w:tcW w:w="8825" w:type="dxa"/>
            <w:shd w:val="clear" w:color="auto" w:fill="C9C9C9" w:themeFill="accent3" w:themeFillTint="99"/>
          </w:tcPr>
          <w:p w:rsidR="00E61868" w:rsidRPr="00F62C0A" w:rsidRDefault="00E61868" w:rsidP="00E61868">
            <w:pPr>
              <w:pStyle w:val="TableParagraph"/>
              <w:tabs>
                <w:tab w:val="left" w:pos="2528"/>
              </w:tabs>
              <w:jc w:val="both"/>
              <w:rPr>
                <w:b/>
              </w:rPr>
            </w:pPr>
            <w:r>
              <w:rPr>
                <w:b/>
              </w:rPr>
              <w:t>DDE’s</w:t>
            </w:r>
            <w:r w:rsidRPr="00F62C0A">
              <w:rPr>
                <w:b/>
              </w:rPr>
              <w:t xml:space="preserve"> Mechanism to provide academic counseling support</w:t>
            </w:r>
            <w:r>
              <w:rPr>
                <w:b/>
              </w:rPr>
              <w:t xml:space="preserve"> and </w:t>
            </w:r>
          </w:p>
          <w:p w:rsidR="00E61868" w:rsidRPr="00D13316" w:rsidRDefault="00E61868" w:rsidP="00E61868">
            <w:pPr>
              <w:jc w:val="both"/>
              <w:rPr>
                <w:b/>
                <w:bCs/>
                <w:iCs/>
                <w:noProof/>
              </w:rPr>
            </w:pPr>
            <w:r w:rsidRPr="00D13316">
              <w:rPr>
                <w:b/>
                <w:bCs/>
                <w:iCs/>
                <w:noProof/>
              </w:rPr>
              <w:t xml:space="preserve">Academic counselling sessions </w:t>
            </w:r>
            <w:r w:rsidRPr="000803F2">
              <w:rPr>
                <w:b/>
                <w:bCs/>
                <w:iCs/>
                <w:noProof/>
              </w:rPr>
              <w:t>conducted</w:t>
            </w:r>
          </w:p>
          <w:p w:rsidR="00E61868" w:rsidRPr="00F62C0A" w:rsidRDefault="00E61868" w:rsidP="00E61868">
            <w:pPr>
              <w:pStyle w:val="TableParagraph"/>
              <w:tabs>
                <w:tab w:val="left" w:pos="2528"/>
              </w:tabs>
            </w:pPr>
          </w:p>
          <w:p w:rsidR="00E61868" w:rsidRPr="00F62C0A" w:rsidRDefault="00E61868" w:rsidP="00E61868">
            <w:pPr>
              <w:jc w:val="both"/>
            </w:pPr>
            <w:r w:rsidRPr="00F62C0A">
              <w:t>An Institutional mechanism is in place to provide academic counselling support to learners enrolled in different programs including strategies for learner participation and engagement as well as development of required competencies and skills</w:t>
            </w:r>
            <w:r>
              <w:t xml:space="preserve">;   </w:t>
            </w:r>
            <w:r w:rsidRPr="00AF2D1A">
              <w:rPr>
                <w:bCs/>
                <w:iCs/>
                <w:noProof/>
              </w:rPr>
              <w:t>Regular conduct of academic counselling sessions (for theory and practical courses) at Learner Support Cen</w:t>
            </w:r>
            <w:r>
              <w:rPr>
                <w:bCs/>
                <w:iCs/>
                <w:noProof/>
              </w:rPr>
              <w:t xml:space="preserve">tres under each Regional Centre. </w:t>
            </w:r>
          </w:p>
          <w:p w:rsidR="00E61868" w:rsidRPr="00F62C0A" w:rsidRDefault="00E61868" w:rsidP="00E61868">
            <w:pPr>
              <w:rPr>
                <w:sz w:val="24"/>
              </w:rPr>
            </w:pPr>
            <w:r w:rsidRPr="00F62C0A">
              <w:rPr>
                <w:rFonts w:eastAsia="Calibri"/>
                <w:lang w:bidi="en-US"/>
              </w:rPr>
              <w:t xml:space="preserve">Write description in maximum of </w:t>
            </w:r>
            <w:r>
              <w:rPr>
                <w:rFonts w:eastAsia="Calibri"/>
                <w:lang w:bidi="en-US"/>
              </w:rPr>
              <w:t>500</w:t>
            </w:r>
            <w:r w:rsidRPr="00F62C0A">
              <w:rPr>
                <w:rFonts w:eastAsia="Calibri"/>
                <w:lang w:bidi="en-US"/>
              </w:rPr>
              <w:t xml:space="preserve"> words </w:t>
            </w:r>
          </w:p>
          <w:p w:rsidR="00E61868" w:rsidRPr="00F62C0A" w:rsidRDefault="00E61868" w:rsidP="00E61868">
            <w:pPr>
              <w:pStyle w:val="TableParagraph"/>
              <w:rPr>
                <w:b/>
              </w:rPr>
            </w:pPr>
            <w:r w:rsidRPr="00F62C0A">
              <w:rPr>
                <w:b/>
              </w:rPr>
              <w:t>Provide web-link to</w:t>
            </w:r>
          </w:p>
          <w:p w:rsidR="00E61868" w:rsidRPr="00856E3E" w:rsidRDefault="00E61868" w:rsidP="00E61868">
            <w:pPr>
              <w:pStyle w:val="TableParagraph"/>
              <w:numPr>
                <w:ilvl w:val="0"/>
                <w:numId w:val="1"/>
              </w:numPr>
              <w:spacing w:line="240" w:lineRule="auto"/>
              <w:jc w:val="both"/>
              <w:rPr>
                <w:bCs/>
                <w:iCs/>
                <w:noProof/>
              </w:rPr>
            </w:pPr>
            <w:r w:rsidRPr="00856E3E">
              <w:t>Schedules of different counseling activities</w:t>
            </w:r>
          </w:p>
          <w:p w:rsidR="00E61868" w:rsidRPr="00856E3E" w:rsidRDefault="00E61868" w:rsidP="00E61868">
            <w:pPr>
              <w:pStyle w:val="TableParagraph"/>
              <w:numPr>
                <w:ilvl w:val="0"/>
                <w:numId w:val="1"/>
              </w:numPr>
              <w:spacing w:line="240" w:lineRule="auto"/>
              <w:jc w:val="both"/>
              <w:rPr>
                <w:bCs/>
                <w:iCs/>
                <w:noProof/>
              </w:rPr>
            </w:pPr>
            <w:r w:rsidRPr="00856E3E">
              <w:t>Report of academic Counseling sessions</w:t>
            </w:r>
          </w:p>
          <w:p w:rsidR="00E61868" w:rsidRPr="00856E3E" w:rsidRDefault="00E61868" w:rsidP="00E61868">
            <w:pPr>
              <w:pStyle w:val="TableParagraph"/>
              <w:numPr>
                <w:ilvl w:val="0"/>
                <w:numId w:val="1"/>
              </w:numPr>
              <w:spacing w:line="240" w:lineRule="auto"/>
              <w:jc w:val="both"/>
              <w:rPr>
                <w:bCs/>
                <w:iCs/>
                <w:noProof/>
              </w:rPr>
            </w:pPr>
            <w:r w:rsidRPr="00856E3E">
              <w:rPr>
                <w:bCs/>
                <w:iCs/>
                <w:noProof/>
              </w:rPr>
              <w:t>Monitoring reports of LSCs</w:t>
            </w:r>
          </w:p>
          <w:p w:rsidR="00E61868" w:rsidRPr="004F1192" w:rsidRDefault="00E61868" w:rsidP="00E61868">
            <w:pPr>
              <w:pStyle w:val="ListParagraph"/>
              <w:numPr>
                <w:ilvl w:val="0"/>
                <w:numId w:val="1"/>
              </w:numPr>
              <w:spacing w:after="0" w:line="240" w:lineRule="auto"/>
              <w:jc w:val="both"/>
              <w:rPr>
                <w:bCs/>
                <w:iCs/>
                <w:noProof/>
              </w:rPr>
            </w:pPr>
            <w:r w:rsidRPr="004F1192">
              <w:rPr>
                <w:bCs/>
                <w:iCs/>
                <w:noProof/>
              </w:rPr>
              <w:t>Payment vouchers to be producted Learner Support Centres under each Regional Centre year wise</w:t>
            </w:r>
          </w:p>
          <w:p w:rsidR="00E61868" w:rsidRDefault="00E61868" w:rsidP="00E61868">
            <w:pPr>
              <w:pStyle w:val="ListParagraph"/>
              <w:numPr>
                <w:ilvl w:val="0"/>
                <w:numId w:val="1"/>
              </w:numPr>
              <w:spacing w:after="0" w:line="240" w:lineRule="auto"/>
              <w:jc w:val="both"/>
              <w:rPr>
                <w:bCs/>
                <w:iCs/>
                <w:noProof/>
              </w:rPr>
            </w:pPr>
            <w:r w:rsidRPr="00D13316">
              <w:rPr>
                <w:bCs/>
                <w:iCs/>
                <w:noProof/>
              </w:rPr>
              <w:t>Reports on counselling sessions</w:t>
            </w:r>
            <w:r>
              <w:rPr>
                <w:bCs/>
                <w:iCs/>
                <w:noProof/>
              </w:rPr>
              <w:t xml:space="preserve"> from RCs / LSCs / Finance division.</w:t>
            </w:r>
          </w:p>
          <w:p w:rsidR="00E61868" w:rsidRPr="00977BF6" w:rsidRDefault="00E61868" w:rsidP="00E61868">
            <w:pPr>
              <w:jc w:val="center"/>
              <w:rPr>
                <w:sz w:val="20"/>
                <w:szCs w:val="20"/>
                <w:lang w:eastAsia="en-IN"/>
              </w:rPr>
            </w:pPr>
            <w:r w:rsidRPr="00856E3E">
              <w:t>Any  other relevant information</w:t>
            </w:r>
          </w:p>
        </w:tc>
      </w:tr>
    </w:tbl>
    <w:p w:rsidR="00E60B42" w:rsidRDefault="00E60B42" w:rsidP="00E60B42">
      <w:pPr>
        <w:jc w:val="center"/>
      </w:pPr>
      <w:r>
        <w:t xml:space="preserve">PGRRCDE – Questions </w:t>
      </w:r>
      <w:r w:rsidR="00E61868">
        <w:t>for</w:t>
      </w:r>
      <w:r>
        <w:t xml:space="preserve"> </w:t>
      </w:r>
      <w:bookmarkStart w:id="0" w:name="_GoBack"/>
      <w:bookmarkEnd w:id="0"/>
      <w:r w:rsidR="00E61868">
        <w:t>the</w:t>
      </w:r>
      <w:r>
        <w:t xml:space="preserve"> Academic Year 2023-2024</w:t>
      </w:r>
    </w:p>
    <w:p w:rsidR="00E61868" w:rsidRDefault="00E61868" w:rsidP="00E60B42">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8727"/>
      </w:tblGrid>
      <w:tr w:rsidR="00E60B42" w:rsidRPr="00977BF6" w:rsidTr="00BB7ED0">
        <w:tc>
          <w:tcPr>
            <w:tcW w:w="1101" w:type="dxa"/>
            <w:shd w:val="clear" w:color="auto" w:fill="C9C9C9" w:themeFill="accent3" w:themeFillTint="99"/>
          </w:tcPr>
          <w:p w:rsidR="00E60B42" w:rsidRPr="00977BF6" w:rsidRDefault="00E60B42" w:rsidP="00BB7ED0">
            <w:pPr>
              <w:jc w:val="center"/>
              <w:rPr>
                <w:b/>
                <w:bCs/>
                <w:sz w:val="20"/>
                <w:szCs w:val="20"/>
                <w:lang w:eastAsia="en-IN"/>
              </w:rPr>
            </w:pPr>
            <w:r>
              <w:rPr>
                <w:b/>
                <w:bCs/>
                <w:sz w:val="20"/>
                <w:szCs w:val="20"/>
                <w:lang w:eastAsia="en-IN"/>
              </w:rPr>
              <w:t>2.5.4</w:t>
            </w:r>
          </w:p>
          <w:p w:rsidR="00E60B42" w:rsidRPr="00977BF6" w:rsidRDefault="00E60B42" w:rsidP="00BB7ED0">
            <w:pPr>
              <w:jc w:val="center"/>
              <w:rPr>
                <w:sz w:val="20"/>
                <w:szCs w:val="20"/>
                <w:lang w:eastAsia="en-IN"/>
              </w:rPr>
            </w:pPr>
            <w:proofErr w:type="spellStart"/>
            <w:r w:rsidRPr="00977BF6">
              <w:rPr>
                <w:b/>
                <w:bCs/>
                <w:sz w:val="20"/>
                <w:szCs w:val="20"/>
                <w:lang w:eastAsia="en-IN"/>
              </w:rPr>
              <w:t>Q</w:t>
            </w:r>
            <w:r w:rsidRPr="00977BF6">
              <w:rPr>
                <w:b/>
                <w:bCs/>
                <w:sz w:val="20"/>
                <w:szCs w:val="20"/>
                <w:vertAlign w:val="subscript"/>
                <w:lang w:eastAsia="en-IN"/>
              </w:rPr>
              <w:t>l</w:t>
            </w:r>
            <w:r w:rsidRPr="00977BF6">
              <w:rPr>
                <w:b/>
                <w:bCs/>
                <w:sz w:val="20"/>
                <w:szCs w:val="20"/>
                <w:lang w:eastAsia="en-IN"/>
              </w:rPr>
              <w:t>M</w:t>
            </w:r>
            <w:proofErr w:type="spellEnd"/>
          </w:p>
        </w:tc>
        <w:tc>
          <w:tcPr>
            <w:tcW w:w="7371" w:type="dxa"/>
            <w:shd w:val="clear" w:color="auto" w:fill="C9C9C9" w:themeFill="accent3" w:themeFillTint="99"/>
          </w:tcPr>
          <w:p w:rsidR="00E60B42" w:rsidRPr="00977BF6" w:rsidRDefault="00E60B42" w:rsidP="00BB7ED0">
            <w:pPr>
              <w:rPr>
                <w:b/>
                <w:i/>
                <w:sz w:val="20"/>
                <w:szCs w:val="20"/>
                <w:lang w:eastAsia="en-IN"/>
              </w:rPr>
            </w:pPr>
            <w:r w:rsidRPr="00977BF6">
              <w:rPr>
                <w:b/>
                <w:i/>
                <w:sz w:val="20"/>
                <w:szCs w:val="20"/>
                <w:lang w:eastAsia="en-IN"/>
              </w:rPr>
              <w:t>Formative Assessment  procedures at DDE</w:t>
            </w:r>
          </w:p>
          <w:p w:rsidR="00E60B42" w:rsidRPr="00977BF6" w:rsidRDefault="00E60B42" w:rsidP="00BB7ED0">
            <w:pPr>
              <w:tabs>
                <w:tab w:val="left" w:pos="1775"/>
              </w:tabs>
              <w:rPr>
                <w:sz w:val="20"/>
                <w:szCs w:val="20"/>
                <w:lang w:eastAsia="en-IN"/>
              </w:rPr>
            </w:pPr>
          </w:p>
          <w:p w:rsidR="00E60B42" w:rsidRPr="00977BF6" w:rsidRDefault="00E60B42" w:rsidP="00BB7ED0">
            <w:pPr>
              <w:tabs>
                <w:tab w:val="left" w:pos="1775"/>
              </w:tabs>
              <w:jc w:val="both"/>
              <w:rPr>
                <w:sz w:val="20"/>
                <w:szCs w:val="20"/>
                <w:shd w:val="clear" w:color="auto" w:fill="FFFFFF"/>
                <w:lang w:eastAsia="en-IN"/>
              </w:rPr>
            </w:pPr>
            <w:r w:rsidRPr="00977BF6">
              <w:rPr>
                <w:sz w:val="20"/>
                <w:szCs w:val="20"/>
                <w:lang w:eastAsia="en-IN"/>
              </w:rPr>
              <w:t>Standard Operating Procedures employed for continuous (internal) assessment followed by the DDE</w:t>
            </w:r>
          </w:p>
          <w:p w:rsidR="00E60B42" w:rsidRPr="00977BF6" w:rsidRDefault="00E60B42" w:rsidP="00BB7ED0">
            <w:pPr>
              <w:rPr>
                <w:b/>
                <w:sz w:val="20"/>
                <w:szCs w:val="20"/>
                <w:lang w:eastAsia="en-IN"/>
              </w:rPr>
            </w:pPr>
          </w:p>
          <w:p w:rsidR="00E60B42" w:rsidRPr="00977BF6" w:rsidRDefault="00E60B42" w:rsidP="00BB7ED0">
            <w:pPr>
              <w:pStyle w:val="Default"/>
              <w:spacing w:line="276" w:lineRule="auto"/>
              <w:rPr>
                <w:rFonts w:ascii="Times New Roman" w:hAnsi="Times New Roman" w:cs="Times New Roman"/>
                <w:color w:val="auto"/>
                <w:sz w:val="22"/>
                <w:szCs w:val="22"/>
                <w:lang w:eastAsia="en-IN"/>
              </w:rPr>
            </w:pPr>
            <w:r w:rsidRPr="00977BF6">
              <w:rPr>
                <w:rFonts w:ascii="Times New Roman" w:hAnsi="Times New Roman" w:cs="Times New Roman"/>
                <w:color w:val="auto"/>
                <w:sz w:val="22"/>
                <w:szCs w:val="22"/>
                <w:lang w:eastAsia="en-IN"/>
              </w:rPr>
              <w:t>Write description in maximum of 500 words</w:t>
            </w:r>
          </w:p>
          <w:p w:rsidR="00E60B42" w:rsidRPr="00977BF6" w:rsidRDefault="00E60B42" w:rsidP="00BB7ED0">
            <w:pPr>
              <w:rPr>
                <w:b/>
                <w:sz w:val="20"/>
                <w:szCs w:val="20"/>
                <w:lang w:eastAsia="en-IN"/>
              </w:rPr>
            </w:pPr>
          </w:p>
          <w:p w:rsidR="00E60B42" w:rsidRPr="00977BF6" w:rsidRDefault="00E60B42" w:rsidP="00BB7ED0">
            <w:pPr>
              <w:pStyle w:val="TableParagraph"/>
              <w:rPr>
                <w:b/>
                <w:sz w:val="20"/>
                <w:szCs w:val="20"/>
                <w:lang w:eastAsia="en-IN"/>
              </w:rPr>
            </w:pPr>
            <w:r w:rsidRPr="00977BF6">
              <w:rPr>
                <w:b/>
                <w:sz w:val="20"/>
                <w:szCs w:val="20"/>
                <w:lang w:eastAsia="en-IN"/>
              </w:rPr>
              <w:t>Provide web-link to</w:t>
            </w:r>
          </w:p>
          <w:p w:rsidR="00E60B42" w:rsidRPr="00977BF6" w:rsidRDefault="00E60B42" w:rsidP="00E60B42">
            <w:pPr>
              <w:numPr>
                <w:ilvl w:val="0"/>
                <w:numId w:val="2"/>
              </w:numPr>
              <w:rPr>
                <w:sz w:val="20"/>
                <w:szCs w:val="20"/>
                <w:lang w:eastAsia="en-IN"/>
              </w:rPr>
            </w:pPr>
            <w:r w:rsidRPr="00977BF6">
              <w:rPr>
                <w:sz w:val="20"/>
                <w:szCs w:val="20"/>
                <w:lang w:eastAsia="en-IN"/>
              </w:rPr>
              <w:t>Policy documents on Evaluation Methodology of DDE</w:t>
            </w:r>
          </w:p>
          <w:p w:rsidR="00E60B42" w:rsidRPr="00977BF6" w:rsidRDefault="00E60B42" w:rsidP="00E60B42">
            <w:pPr>
              <w:numPr>
                <w:ilvl w:val="0"/>
                <w:numId w:val="2"/>
              </w:numPr>
              <w:rPr>
                <w:sz w:val="20"/>
                <w:szCs w:val="20"/>
                <w:lang w:eastAsia="en-IN"/>
              </w:rPr>
            </w:pPr>
            <w:r w:rsidRPr="00977BF6">
              <w:rPr>
                <w:sz w:val="20"/>
                <w:szCs w:val="20"/>
                <w:lang w:eastAsia="en-IN"/>
              </w:rPr>
              <w:t>Any other relevant information</w:t>
            </w:r>
          </w:p>
          <w:p w:rsidR="00E60B42" w:rsidRPr="00977BF6" w:rsidRDefault="00E60B42" w:rsidP="00BB7ED0">
            <w:pPr>
              <w:jc w:val="center"/>
              <w:rPr>
                <w:sz w:val="20"/>
                <w:szCs w:val="20"/>
                <w:lang w:eastAsia="en-IN"/>
              </w:rPr>
            </w:pPr>
          </w:p>
        </w:tc>
      </w:tr>
    </w:tbl>
    <w:p w:rsidR="00E60B42" w:rsidRDefault="00E60B42" w:rsidP="00E60B42">
      <w:pPr>
        <w:tabs>
          <w:tab w:val="left" w:pos="2280"/>
        </w:tabs>
      </w:pPr>
    </w:p>
    <w:p w:rsidR="00E60B42" w:rsidRDefault="00E60B42" w:rsidP="00E60B42">
      <w:pPr>
        <w:tabs>
          <w:tab w:val="left" w:pos="2280"/>
        </w:tabs>
      </w:pPr>
    </w:p>
    <w:p w:rsidR="00E60B42" w:rsidRPr="00E60B42" w:rsidRDefault="00E60B42" w:rsidP="00E60B42">
      <w:pPr>
        <w:tabs>
          <w:tab w:val="left" w:pos="2280"/>
        </w:tabs>
      </w:pPr>
    </w:p>
    <w:p w:rsidR="00E60B42" w:rsidRDefault="00E60B42" w:rsidP="00E60B42"/>
    <w:p w:rsidR="00E60B42" w:rsidRDefault="00E60B42"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1868" w:rsidRDefault="00E61868" w:rsidP="00E60B42"/>
    <w:p w:rsidR="00E60B42" w:rsidRDefault="00E60B42" w:rsidP="00E60B42"/>
    <w:p w:rsidR="00E60B42" w:rsidRDefault="00E60B42" w:rsidP="00E60B42"/>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505"/>
      </w:tblGrid>
      <w:tr w:rsidR="00E60B42" w:rsidRPr="00977BF6" w:rsidTr="00E60B42">
        <w:trPr>
          <w:trHeight w:val="1240"/>
        </w:trPr>
        <w:tc>
          <w:tcPr>
            <w:tcW w:w="1305" w:type="dxa"/>
            <w:shd w:val="clear" w:color="auto" w:fill="auto"/>
          </w:tcPr>
          <w:p w:rsidR="00E60B42" w:rsidRPr="00977BF6" w:rsidRDefault="00E60B42" w:rsidP="00BB7ED0">
            <w:pPr>
              <w:jc w:val="center"/>
              <w:rPr>
                <w:b/>
                <w:bCs/>
              </w:rPr>
            </w:pPr>
            <w:r w:rsidRPr="00977BF6">
              <w:rPr>
                <w:b/>
                <w:bCs/>
              </w:rPr>
              <w:lastRenderedPageBreak/>
              <w:t>5.1.5</w:t>
            </w:r>
          </w:p>
          <w:p w:rsidR="00E60B42" w:rsidRPr="00977BF6" w:rsidRDefault="00E60B42" w:rsidP="00BB7ED0">
            <w:pPr>
              <w:jc w:val="center"/>
              <w:rPr>
                <w:b/>
                <w:bCs/>
              </w:rPr>
            </w:pPr>
            <w:proofErr w:type="spellStart"/>
            <w:r w:rsidRPr="00977BF6">
              <w:rPr>
                <w:b/>
                <w:bCs/>
              </w:rPr>
              <w:t>Q</w:t>
            </w:r>
            <w:r w:rsidRPr="00977BF6">
              <w:rPr>
                <w:b/>
                <w:bCs/>
                <w:vertAlign w:val="subscript"/>
              </w:rPr>
              <w:t>l</w:t>
            </w:r>
            <w:r w:rsidRPr="00977BF6">
              <w:rPr>
                <w:b/>
                <w:bCs/>
              </w:rPr>
              <w:t>M</w:t>
            </w:r>
            <w:proofErr w:type="spellEnd"/>
          </w:p>
        </w:tc>
        <w:tc>
          <w:tcPr>
            <w:tcW w:w="8505" w:type="dxa"/>
            <w:shd w:val="clear" w:color="auto" w:fill="auto"/>
          </w:tcPr>
          <w:p w:rsidR="00E60B42" w:rsidRPr="00977BF6" w:rsidRDefault="00E60B42" w:rsidP="00BB7ED0">
            <w:pPr>
              <w:rPr>
                <w:b/>
                <w:bCs/>
                <w:i/>
                <w:iCs/>
              </w:rPr>
            </w:pPr>
            <w:r w:rsidRPr="00977BF6">
              <w:rPr>
                <w:b/>
                <w:bCs/>
                <w:i/>
                <w:iCs/>
              </w:rPr>
              <w:t>Pre</w:t>
            </w:r>
            <w:r>
              <w:rPr>
                <w:b/>
                <w:bCs/>
                <w:i/>
                <w:iCs/>
              </w:rPr>
              <w:t xml:space="preserve">-admission Counselling Services, </w:t>
            </w:r>
            <w:r w:rsidRPr="00977BF6">
              <w:rPr>
                <w:b/>
                <w:bCs/>
                <w:i/>
                <w:iCs/>
              </w:rPr>
              <w:t xml:space="preserve">Online Admission and Related </w:t>
            </w:r>
            <w:proofErr w:type="spellStart"/>
            <w:r w:rsidRPr="00977BF6">
              <w:rPr>
                <w:b/>
                <w:bCs/>
                <w:i/>
                <w:iCs/>
              </w:rPr>
              <w:t>Activitiesat</w:t>
            </w:r>
            <w:proofErr w:type="spellEnd"/>
            <w:r w:rsidRPr="00977BF6">
              <w:rPr>
                <w:b/>
                <w:bCs/>
                <w:i/>
                <w:iCs/>
              </w:rPr>
              <w:t xml:space="preserve"> DDE</w:t>
            </w:r>
          </w:p>
          <w:p w:rsidR="00E60B42" w:rsidRPr="00977BF6" w:rsidRDefault="00E60B42" w:rsidP="00BB7ED0">
            <w:pPr>
              <w:jc w:val="both"/>
              <w:rPr>
                <w:b/>
                <w:bCs/>
                <w:i/>
                <w:iCs/>
              </w:rPr>
            </w:pPr>
          </w:p>
          <w:p w:rsidR="00E60B42" w:rsidRPr="00977BF6" w:rsidRDefault="00E60B42" w:rsidP="00BB7ED0">
            <w:r w:rsidRPr="00977BF6">
              <w:rPr>
                <w:bCs/>
                <w:iCs/>
              </w:rPr>
              <w:t>Activities undertaken by DDE for providing pre-admission counselling services to prospective learners and induction of newly enrolled learners at DDE</w:t>
            </w:r>
            <w:r>
              <w:rPr>
                <w:bCs/>
                <w:iCs/>
              </w:rPr>
              <w:t xml:space="preserve">, </w:t>
            </w:r>
            <w:r w:rsidRPr="00977BF6">
              <w:t xml:space="preserve">The status and process of online admission including payment of fees at DDE </w:t>
            </w:r>
          </w:p>
          <w:p w:rsidR="00E60B42" w:rsidRPr="00760940" w:rsidRDefault="00E60B42" w:rsidP="00BB7ED0">
            <w:pPr>
              <w:pStyle w:val="Default"/>
              <w:spacing w:line="276" w:lineRule="auto"/>
              <w:rPr>
                <w:rFonts w:ascii="Times New Roman" w:hAnsi="Times New Roman" w:cs="Times New Roman"/>
                <w:color w:val="auto"/>
                <w:sz w:val="22"/>
                <w:szCs w:val="22"/>
              </w:rPr>
            </w:pPr>
            <w:r w:rsidRPr="00760940">
              <w:rPr>
                <w:rFonts w:ascii="Times New Roman" w:hAnsi="Times New Roman" w:cs="Times New Roman"/>
                <w:color w:val="auto"/>
                <w:sz w:val="22"/>
                <w:szCs w:val="22"/>
              </w:rPr>
              <w:t xml:space="preserve">Write description in maximum of </w:t>
            </w:r>
            <w:r>
              <w:rPr>
                <w:rFonts w:ascii="Times New Roman" w:hAnsi="Times New Roman" w:cs="Times New Roman"/>
                <w:color w:val="auto"/>
                <w:sz w:val="22"/>
                <w:szCs w:val="22"/>
              </w:rPr>
              <w:t xml:space="preserve">500 </w:t>
            </w:r>
            <w:r w:rsidRPr="00760940">
              <w:rPr>
                <w:rFonts w:ascii="Times New Roman" w:hAnsi="Times New Roman" w:cs="Times New Roman"/>
                <w:color w:val="auto"/>
                <w:sz w:val="22"/>
                <w:szCs w:val="22"/>
              </w:rPr>
              <w:t>words</w:t>
            </w:r>
          </w:p>
          <w:p w:rsidR="00E60B42" w:rsidRPr="00977BF6" w:rsidRDefault="00E60B42" w:rsidP="00BB7ED0">
            <w:pPr>
              <w:pStyle w:val="ListParagraph"/>
              <w:spacing w:after="0" w:line="240" w:lineRule="auto"/>
              <w:ind w:left="0"/>
            </w:pPr>
          </w:p>
        </w:tc>
      </w:tr>
      <w:tr w:rsidR="00E60B42" w:rsidRPr="00977BF6" w:rsidTr="00E60B42">
        <w:trPr>
          <w:trHeight w:val="1240"/>
        </w:trPr>
        <w:tc>
          <w:tcPr>
            <w:tcW w:w="1305" w:type="dxa"/>
            <w:shd w:val="clear" w:color="auto" w:fill="auto"/>
          </w:tcPr>
          <w:p w:rsidR="00E60B42" w:rsidRPr="00977BF6" w:rsidRDefault="00E60B42" w:rsidP="00BB7ED0">
            <w:pPr>
              <w:jc w:val="center"/>
              <w:rPr>
                <w:b/>
                <w:bCs/>
              </w:rPr>
            </w:pPr>
            <w:r>
              <w:rPr>
                <w:b/>
                <w:bCs/>
              </w:rPr>
              <w:t>5.1.6</w:t>
            </w:r>
          </w:p>
          <w:p w:rsidR="00E60B42" w:rsidRPr="00977BF6" w:rsidRDefault="00E60B42" w:rsidP="00BB7ED0">
            <w:pPr>
              <w:jc w:val="center"/>
              <w:rPr>
                <w:b/>
                <w:bCs/>
              </w:rPr>
            </w:pPr>
            <w:proofErr w:type="spellStart"/>
            <w:r w:rsidRPr="00977BF6">
              <w:rPr>
                <w:b/>
                <w:bCs/>
              </w:rPr>
              <w:t>Q</w:t>
            </w:r>
            <w:r w:rsidRPr="00977BF6">
              <w:rPr>
                <w:b/>
                <w:bCs/>
                <w:vertAlign w:val="subscript"/>
              </w:rPr>
              <w:t>l</w:t>
            </w:r>
            <w:r w:rsidRPr="00977BF6">
              <w:rPr>
                <w:b/>
                <w:bCs/>
              </w:rPr>
              <w:t>M</w:t>
            </w:r>
            <w:proofErr w:type="spellEnd"/>
          </w:p>
        </w:tc>
        <w:tc>
          <w:tcPr>
            <w:tcW w:w="8505" w:type="dxa"/>
            <w:shd w:val="clear" w:color="auto" w:fill="auto"/>
          </w:tcPr>
          <w:p w:rsidR="00E60B42" w:rsidRPr="00977BF6" w:rsidRDefault="00E60B42" w:rsidP="00BB7ED0">
            <w:pPr>
              <w:rPr>
                <w:b/>
                <w:bCs/>
                <w:i/>
                <w:iCs/>
              </w:rPr>
            </w:pPr>
            <w:r w:rsidRPr="00977BF6">
              <w:rPr>
                <w:b/>
                <w:bCs/>
                <w:i/>
                <w:iCs/>
              </w:rPr>
              <w:t>Dispatch of Study Material to Learners by DDE</w:t>
            </w:r>
          </w:p>
          <w:p w:rsidR="00E60B42" w:rsidRPr="00977BF6" w:rsidRDefault="00E60B42" w:rsidP="00BB7ED0">
            <w:pPr>
              <w:rPr>
                <w:b/>
                <w:bCs/>
                <w:iCs/>
              </w:rPr>
            </w:pPr>
          </w:p>
          <w:p w:rsidR="00E60B42" w:rsidRPr="00977BF6" w:rsidRDefault="00E60B42" w:rsidP="00BB7ED0">
            <w:pPr>
              <w:rPr>
                <w:bCs/>
                <w:iCs/>
              </w:rPr>
            </w:pPr>
            <w:r w:rsidRPr="00977BF6">
              <w:rPr>
                <w:bCs/>
                <w:iCs/>
              </w:rPr>
              <w:t>Strategy followed by DDE for dispatch of study material to learners</w:t>
            </w:r>
          </w:p>
          <w:p w:rsidR="00E60B42" w:rsidRPr="00977BF6" w:rsidRDefault="00E60B42" w:rsidP="00BB7ED0">
            <w:pPr>
              <w:rPr>
                <w:bCs/>
                <w:iCs/>
              </w:rPr>
            </w:pPr>
          </w:p>
          <w:p w:rsidR="00E60B42" w:rsidRPr="00760940" w:rsidRDefault="00E60B42" w:rsidP="00BB7ED0">
            <w:pPr>
              <w:pStyle w:val="Default"/>
              <w:spacing w:line="276" w:lineRule="auto"/>
              <w:rPr>
                <w:rFonts w:ascii="Times New Roman" w:hAnsi="Times New Roman" w:cs="Times New Roman"/>
                <w:color w:val="auto"/>
                <w:sz w:val="22"/>
                <w:szCs w:val="22"/>
              </w:rPr>
            </w:pPr>
            <w:r w:rsidRPr="00760940">
              <w:rPr>
                <w:rFonts w:ascii="Times New Roman" w:hAnsi="Times New Roman" w:cs="Times New Roman"/>
                <w:color w:val="auto"/>
                <w:sz w:val="22"/>
                <w:szCs w:val="22"/>
              </w:rPr>
              <w:t>Write description in maximum of 200 words</w:t>
            </w:r>
          </w:p>
          <w:p w:rsidR="00E60B42" w:rsidRPr="00977BF6" w:rsidRDefault="00E60B42" w:rsidP="00BB7ED0"/>
          <w:p w:rsidR="00E60B42" w:rsidRPr="00760940" w:rsidRDefault="00E60B42" w:rsidP="00BB7ED0">
            <w:pPr>
              <w:pStyle w:val="TableParagraph"/>
              <w:rPr>
                <w:b/>
              </w:rPr>
            </w:pPr>
            <w:r w:rsidRPr="00760940">
              <w:rPr>
                <w:b/>
              </w:rPr>
              <w:t>Provide web-link to</w:t>
            </w:r>
          </w:p>
          <w:p w:rsidR="00E60B42" w:rsidRPr="00977BF6" w:rsidRDefault="00E60B42" w:rsidP="00BB7ED0">
            <w:pPr>
              <w:tabs>
                <w:tab w:val="left" w:pos="225"/>
              </w:tabs>
              <w:rPr>
                <w:b/>
                <w:bCs/>
                <w:iCs/>
              </w:rPr>
            </w:pPr>
          </w:p>
          <w:p w:rsidR="00E60B42" w:rsidRPr="00760940" w:rsidRDefault="00E60B42" w:rsidP="00E60B42">
            <w:pPr>
              <w:pStyle w:val="ListParagraph"/>
              <w:numPr>
                <w:ilvl w:val="0"/>
                <w:numId w:val="4"/>
              </w:numPr>
              <w:spacing w:after="0" w:line="240" w:lineRule="auto"/>
              <w:rPr>
                <w:rFonts w:ascii="Times New Roman" w:hAnsi="Times New Roman"/>
              </w:rPr>
            </w:pPr>
            <w:r w:rsidRPr="00760940">
              <w:rPr>
                <w:rFonts w:ascii="Times New Roman" w:hAnsi="Times New Roman"/>
                <w:bCs/>
                <w:iCs/>
              </w:rPr>
              <w:t>Material dispatch related activities at DDE</w:t>
            </w:r>
          </w:p>
          <w:p w:rsidR="00E60B42" w:rsidRPr="00760940" w:rsidRDefault="00E60B42" w:rsidP="00E60B42">
            <w:pPr>
              <w:pStyle w:val="ListParagraph"/>
              <w:numPr>
                <w:ilvl w:val="0"/>
                <w:numId w:val="4"/>
              </w:numPr>
              <w:spacing w:after="0" w:line="240" w:lineRule="auto"/>
              <w:rPr>
                <w:rFonts w:ascii="Times New Roman" w:hAnsi="Times New Roman"/>
                <w:b/>
                <w:bCs/>
                <w:iCs/>
              </w:rPr>
            </w:pPr>
            <w:r w:rsidRPr="00760940">
              <w:rPr>
                <w:rFonts w:ascii="Times New Roman" w:hAnsi="Times New Roman"/>
              </w:rPr>
              <w:t>Any other relevant information</w:t>
            </w:r>
          </w:p>
        </w:tc>
      </w:tr>
      <w:tr w:rsidR="00E60B42" w:rsidRPr="00977BF6" w:rsidTr="00E60B42">
        <w:trPr>
          <w:trHeight w:val="1240"/>
        </w:trPr>
        <w:tc>
          <w:tcPr>
            <w:tcW w:w="1305" w:type="dxa"/>
            <w:shd w:val="clear" w:color="auto" w:fill="auto"/>
          </w:tcPr>
          <w:p w:rsidR="00E60B42" w:rsidRDefault="00E60B42" w:rsidP="00BB7ED0">
            <w:pPr>
              <w:jc w:val="center"/>
              <w:rPr>
                <w:b/>
                <w:bCs/>
              </w:rPr>
            </w:pPr>
            <w:r>
              <w:rPr>
                <w:b/>
                <w:bCs/>
              </w:rPr>
              <w:t>5.1.8</w:t>
            </w:r>
          </w:p>
          <w:p w:rsidR="00E60B42" w:rsidRPr="00977BF6" w:rsidRDefault="00E60B42" w:rsidP="00BB7ED0">
            <w:pPr>
              <w:jc w:val="center"/>
              <w:rPr>
                <w:b/>
                <w:bCs/>
              </w:rPr>
            </w:pPr>
            <w:proofErr w:type="spellStart"/>
            <w:r>
              <w:rPr>
                <w:b/>
                <w:bCs/>
              </w:rPr>
              <w:t>Qnm</w:t>
            </w:r>
            <w:proofErr w:type="spellEnd"/>
          </w:p>
        </w:tc>
        <w:tc>
          <w:tcPr>
            <w:tcW w:w="8505" w:type="dxa"/>
            <w:shd w:val="clear" w:color="auto" w:fill="auto"/>
          </w:tcPr>
          <w:p w:rsidR="00E60B42" w:rsidRPr="00A510AA" w:rsidRDefault="00E60B42" w:rsidP="00BB7ED0">
            <w:pPr>
              <w:jc w:val="both"/>
              <w:rPr>
                <w:b/>
                <w:bCs/>
                <w:iCs/>
              </w:rPr>
            </w:pPr>
            <w:r w:rsidRPr="00F62C0A">
              <w:rPr>
                <w:b/>
                <w:bCs/>
                <w:iCs/>
              </w:rPr>
              <w:t xml:space="preserve">Addressing learners’ grievances </w:t>
            </w:r>
            <w:r>
              <w:rPr>
                <w:b/>
                <w:bCs/>
                <w:iCs/>
              </w:rPr>
              <w:t xml:space="preserve">– </w:t>
            </w:r>
            <w:r w:rsidRPr="00F62C0A">
              <w:rPr>
                <w:bCs/>
                <w:iCs/>
              </w:rPr>
              <w:t>The Institution has a transparent mechanism for timely redressal of learner grievances.</w:t>
            </w:r>
          </w:p>
          <w:p w:rsidR="00E60B42" w:rsidRPr="00F62C0A" w:rsidRDefault="00E60B42" w:rsidP="00BB7ED0">
            <w:pPr>
              <w:pStyle w:val="TableParagraph"/>
              <w:jc w:val="both"/>
            </w:pPr>
            <w:r>
              <w:t>P</w:t>
            </w:r>
            <w:r w:rsidRPr="00F62C0A">
              <w:t xml:space="preserve">ercentage of grievances received at HQ and redressed </w:t>
            </w:r>
            <w:r>
              <w:t xml:space="preserve">during </w:t>
            </w:r>
            <w:r w:rsidR="00E61868">
              <w:t>Academic year 2023-2024</w:t>
            </w:r>
          </w:p>
          <w:p w:rsidR="00E60B42" w:rsidRPr="00F62C0A" w:rsidRDefault="00E60B42" w:rsidP="00BB7ED0">
            <w:pPr>
              <w:pStyle w:val="TableParagraph"/>
            </w:pPr>
          </w:p>
          <w:p w:rsidR="00E60B42" w:rsidRPr="00F62C0A" w:rsidRDefault="00E60B42" w:rsidP="00BB7ED0">
            <w:pPr>
              <w:pStyle w:val="TableParagraph"/>
              <w:jc w:val="both"/>
            </w:pPr>
            <w:r>
              <w:t>5.1.8.1 N</w:t>
            </w:r>
            <w:r w:rsidRPr="00F62C0A">
              <w:t xml:space="preserve">umber of grievances received at HQ </w:t>
            </w:r>
            <w:r>
              <w:t xml:space="preserve">that are redressed </w:t>
            </w:r>
            <w:r w:rsidRPr="00F62C0A">
              <w:t xml:space="preserve">year wise </w:t>
            </w:r>
            <w:r>
              <w:t>during</w:t>
            </w:r>
            <w:r w:rsidRPr="00F62C0A">
              <w:t xml:space="preserve"> the </w:t>
            </w:r>
            <w:r w:rsidR="00E61868">
              <w:t>Academic year 2023-2024</w:t>
            </w:r>
          </w:p>
          <w:p w:rsidR="00E60B42" w:rsidRPr="00F62C0A" w:rsidRDefault="00E60B42" w:rsidP="00BB7ED0">
            <w:pPr>
              <w:pStyle w:val="TableParagraph"/>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1646"/>
            </w:tblGrid>
            <w:tr w:rsidR="00E61868" w:rsidRPr="00F62C0A" w:rsidTr="00E61868">
              <w:trPr>
                <w:trHeight w:val="396"/>
              </w:trPr>
              <w:tc>
                <w:tcPr>
                  <w:tcW w:w="5629" w:type="dxa"/>
                </w:tcPr>
                <w:p w:rsidR="00E61868" w:rsidRPr="00F62C0A" w:rsidRDefault="00E61868" w:rsidP="00BB7ED0">
                  <w:pPr>
                    <w:pStyle w:val="TableParagraph"/>
                  </w:pPr>
                  <w:r w:rsidRPr="00F62C0A">
                    <w:t>Year</w:t>
                  </w:r>
                </w:p>
              </w:tc>
              <w:tc>
                <w:tcPr>
                  <w:tcW w:w="1646" w:type="dxa"/>
                </w:tcPr>
                <w:p w:rsidR="00E61868" w:rsidRPr="00F62C0A" w:rsidRDefault="00E61868" w:rsidP="00BB7ED0">
                  <w:pPr>
                    <w:pStyle w:val="TableParagraph"/>
                  </w:pPr>
                </w:p>
              </w:tc>
            </w:tr>
            <w:tr w:rsidR="00E61868" w:rsidRPr="00F62C0A" w:rsidTr="00E61868">
              <w:trPr>
                <w:trHeight w:val="396"/>
              </w:trPr>
              <w:tc>
                <w:tcPr>
                  <w:tcW w:w="5629" w:type="dxa"/>
                </w:tcPr>
                <w:p w:rsidR="00E61868" w:rsidRPr="00F62C0A" w:rsidRDefault="00E61868" w:rsidP="00BB7ED0">
                  <w:pPr>
                    <w:pStyle w:val="TableParagraph"/>
                  </w:pPr>
                  <w:r w:rsidRPr="00F62C0A">
                    <w:t>Number of grievances received at HQ</w:t>
                  </w:r>
                </w:p>
              </w:tc>
              <w:tc>
                <w:tcPr>
                  <w:tcW w:w="1646" w:type="dxa"/>
                </w:tcPr>
                <w:p w:rsidR="00E61868" w:rsidRPr="00F62C0A" w:rsidRDefault="00E61868" w:rsidP="00BB7ED0">
                  <w:pPr>
                    <w:pStyle w:val="TableParagraph"/>
                  </w:pPr>
                </w:p>
              </w:tc>
            </w:tr>
          </w:tbl>
          <w:p w:rsidR="00E60B42" w:rsidRPr="00F62C0A" w:rsidRDefault="00E60B42" w:rsidP="00BB7ED0">
            <w:pPr>
              <w:pStyle w:val="TableParagraph"/>
              <w:ind w:left="1080"/>
              <w:rPr>
                <w:b/>
                <w:bCs/>
                <w:iCs/>
                <w:sz w:val="18"/>
                <w:szCs w:val="18"/>
              </w:rPr>
            </w:pPr>
          </w:p>
          <w:p w:rsidR="00E60B42" w:rsidRPr="00C52B30" w:rsidRDefault="00E60B42" w:rsidP="00BB7ED0">
            <w:pPr>
              <w:rPr>
                <w:rFonts w:ascii="Calibri" w:hAnsi="Calibri" w:cs="Calibri"/>
                <w:b/>
                <w:color w:val="FF0000"/>
                <w:u w:val="single"/>
              </w:rPr>
            </w:pPr>
            <w:r w:rsidRPr="00C52B30">
              <w:rPr>
                <w:rFonts w:ascii="Calibri" w:hAnsi="Calibri" w:cs="Calibri"/>
                <w:b/>
                <w:color w:val="FF0000"/>
                <w:u w:val="single"/>
              </w:rPr>
              <w:t xml:space="preserve">Upload the specific document as per description given below </w:t>
            </w:r>
          </w:p>
          <w:p w:rsidR="00E60B42" w:rsidRPr="00C52B30" w:rsidRDefault="00E60B42" w:rsidP="00E60B42">
            <w:pPr>
              <w:pStyle w:val="ListParagraph"/>
              <w:numPr>
                <w:ilvl w:val="0"/>
                <w:numId w:val="8"/>
              </w:numPr>
              <w:spacing w:after="0" w:line="240" w:lineRule="auto"/>
              <w:rPr>
                <w:color w:val="FF0000"/>
              </w:rPr>
            </w:pPr>
            <w:r w:rsidRPr="00C52B30">
              <w:rPr>
                <w:rFonts w:cs="Calibri"/>
                <w:color w:val="FF0000"/>
              </w:rPr>
              <w:t>Institutional data in the prescribed format (data template)</w:t>
            </w:r>
          </w:p>
          <w:p w:rsidR="00E60B42" w:rsidRPr="00C52B30" w:rsidRDefault="00E60B42" w:rsidP="00E60B42">
            <w:pPr>
              <w:pStyle w:val="ListParagraph"/>
              <w:numPr>
                <w:ilvl w:val="0"/>
                <w:numId w:val="8"/>
              </w:numPr>
              <w:spacing w:after="0" w:line="240" w:lineRule="auto"/>
              <w:rPr>
                <w:b/>
                <w:color w:val="FF0000"/>
              </w:rPr>
            </w:pPr>
            <w:r>
              <w:rPr>
                <w:b/>
                <w:color w:val="FF0000"/>
              </w:rPr>
              <w:t>Report of internal grievance redressal system submitted to concerned committee</w:t>
            </w:r>
          </w:p>
          <w:p w:rsidR="00E60B42" w:rsidRPr="003C7CE9" w:rsidRDefault="00E60B42" w:rsidP="00BB7ED0">
            <w:pPr>
              <w:pStyle w:val="ListParagraph"/>
              <w:ind w:left="0"/>
              <w:rPr>
                <w:rFonts w:cs="Calibri"/>
                <w:b/>
                <w:color w:val="FF0000"/>
              </w:rPr>
            </w:pPr>
            <w:r w:rsidRPr="003C7CE9">
              <w:rPr>
                <w:rFonts w:cs="Calibri"/>
                <w:b/>
                <w:color w:val="FF0000"/>
              </w:rPr>
              <w:t>Apart from the above:</w:t>
            </w:r>
          </w:p>
          <w:p w:rsidR="00E60B42" w:rsidRDefault="00E60B42" w:rsidP="00BB7ED0">
            <w:pPr>
              <w:rPr>
                <w:rFonts w:cs="Calibri"/>
                <w:b/>
                <w:color w:val="FF0000"/>
                <w:sz w:val="20"/>
              </w:rPr>
            </w:pPr>
            <w:r w:rsidRPr="003C7CE9">
              <w:rPr>
                <w:rFonts w:cs="Calibri"/>
                <w:b/>
                <w:color w:val="FF0000"/>
                <w:sz w:val="20"/>
              </w:rPr>
              <w:t>Provide Links for any other relevant document to support the claim (if any)</w:t>
            </w:r>
          </w:p>
          <w:p w:rsidR="00E60B42" w:rsidRDefault="00E60B42" w:rsidP="00BB7ED0">
            <w:pPr>
              <w:pStyle w:val="TableParagraph"/>
              <w:rPr>
                <w:b/>
              </w:rPr>
            </w:pPr>
          </w:p>
          <w:p w:rsidR="00E60B42" w:rsidRPr="00977BF6" w:rsidRDefault="00E60B42" w:rsidP="00BB7ED0">
            <w:pPr>
              <w:rPr>
                <w:b/>
                <w:bCs/>
                <w:iCs/>
              </w:rPr>
            </w:pPr>
          </w:p>
        </w:tc>
      </w:tr>
    </w:tbl>
    <w:p w:rsidR="00E60B42" w:rsidRPr="00E60B42" w:rsidRDefault="00E60B42" w:rsidP="00E60B42"/>
    <w:p w:rsidR="00E60B42" w:rsidRPr="00E60B42" w:rsidRDefault="00E60B42" w:rsidP="00E60B42"/>
    <w:sectPr w:rsidR="00E60B42" w:rsidRPr="00E60B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A9" w:rsidRDefault="00385DA9" w:rsidP="00E60B42">
      <w:r>
        <w:separator/>
      </w:r>
    </w:p>
  </w:endnote>
  <w:endnote w:type="continuationSeparator" w:id="0">
    <w:p w:rsidR="00385DA9" w:rsidRDefault="00385DA9" w:rsidP="00E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68" w:rsidRPr="00E61868" w:rsidRDefault="00E61868" w:rsidP="00E61868">
    <w:pPr>
      <w:jc w:val="center"/>
      <w:rPr>
        <w:b/>
        <w:sz w:val="28"/>
      </w:rPr>
    </w:pPr>
    <w:r w:rsidRPr="00E61868">
      <w:rPr>
        <w:b/>
        <w:sz w:val="28"/>
      </w:rPr>
      <w:t>A</w:t>
    </w:r>
    <w:r>
      <w:rPr>
        <w:b/>
        <w:sz w:val="28"/>
      </w:rPr>
      <w:t>nnual Quality Assurance Report for 2023-2024</w:t>
    </w:r>
  </w:p>
  <w:p w:rsidR="00E61868" w:rsidRDefault="00E61868" w:rsidP="00E6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A9" w:rsidRDefault="00385DA9" w:rsidP="00E60B42">
      <w:r>
        <w:separator/>
      </w:r>
    </w:p>
  </w:footnote>
  <w:footnote w:type="continuationSeparator" w:id="0">
    <w:p w:rsidR="00385DA9" w:rsidRDefault="00385DA9" w:rsidP="00E6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42" w:rsidRPr="00E60B42" w:rsidRDefault="00E60B42" w:rsidP="00E60B42">
    <w:pPr>
      <w:pStyle w:val="Header"/>
      <w:tabs>
        <w:tab w:val="clear" w:pos="4513"/>
        <w:tab w:val="left" w:pos="405"/>
        <w:tab w:val="center" w:pos="5387"/>
      </w:tabs>
      <w:jc w:val="center"/>
      <w:rPr>
        <w:rFonts w:ascii="Arial" w:hAnsi="Arial" w:cs="Arial"/>
        <w:i/>
      </w:rPr>
    </w:pPr>
    <w:r>
      <w:t xml:space="preserve">                                                                                         </w:t>
    </w:r>
    <w:r w:rsidR="00E61868" w:rsidRPr="00E60B42">
      <w:rPr>
        <w:rFonts w:ascii="Arial" w:hAnsi="Arial" w:cs="Arial"/>
        <w:i/>
        <w:sz w:val="28"/>
      </w:rPr>
      <w:t xml:space="preserve">Osmania </w:t>
    </w:r>
    <w:r w:rsidRPr="00E60B42">
      <w:rPr>
        <w:rFonts w:ascii="Arial" w:hAnsi="Arial" w:cs="Arial"/>
        <w:i/>
        <w:noProof/>
        <w:sz w:val="28"/>
        <w:lang w:val="en-IN" w:eastAsia="en-IN" w:bidi="ar-SA"/>
      </w:rPr>
      <w:drawing>
        <wp:anchor distT="0" distB="0" distL="114300" distR="114300" simplePos="0" relativeHeight="251658240" behindDoc="1" locked="0" layoutInCell="1" allowOverlap="1">
          <wp:simplePos x="0" y="0"/>
          <wp:positionH relativeFrom="column">
            <wp:posOffset>5486400</wp:posOffset>
          </wp:positionH>
          <wp:positionV relativeFrom="paragraph">
            <wp:posOffset>-392430</wp:posOffset>
          </wp:positionV>
          <wp:extent cx="885825"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logo-removebg-preview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Pr="00E60B42">
      <w:rPr>
        <w:rFonts w:ascii="Arial" w:hAnsi="Arial" w:cs="Arial"/>
        <w:i/>
        <w:sz w:val="28"/>
      </w:rPr>
      <w:t>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A1E"/>
    <w:multiLevelType w:val="hybridMultilevel"/>
    <w:tmpl w:val="E56C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173A8"/>
    <w:multiLevelType w:val="hybridMultilevel"/>
    <w:tmpl w:val="80525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E1DDB"/>
    <w:multiLevelType w:val="hybridMultilevel"/>
    <w:tmpl w:val="1F52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B65F4"/>
    <w:multiLevelType w:val="hybridMultilevel"/>
    <w:tmpl w:val="9AEAA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9122B"/>
    <w:multiLevelType w:val="hybridMultilevel"/>
    <w:tmpl w:val="439C3408"/>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494298"/>
    <w:multiLevelType w:val="hybridMultilevel"/>
    <w:tmpl w:val="A65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806ED"/>
    <w:multiLevelType w:val="hybridMultilevel"/>
    <w:tmpl w:val="CC4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60BAC"/>
    <w:multiLevelType w:val="hybridMultilevel"/>
    <w:tmpl w:val="07B65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42"/>
    <w:rsid w:val="00385DA9"/>
    <w:rsid w:val="00403B78"/>
    <w:rsid w:val="00E60B42"/>
    <w:rsid w:val="00E618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819D-B07A-470D-86DC-A7DB06A6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42"/>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B42"/>
    <w:pPr>
      <w:spacing w:after="200" w:line="276" w:lineRule="auto"/>
      <w:ind w:left="720"/>
      <w:contextualSpacing/>
    </w:pPr>
    <w:rPr>
      <w:rFonts w:ascii="Calibri" w:eastAsia="Calibri" w:hAnsi="Calibri"/>
      <w:lang w:bidi="ar-SA"/>
    </w:rPr>
  </w:style>
  <w:style w:type="paragraph" w:customStyle="1" w:styleId="TableParagraph">
    <w:name w:val="Table Paragraph"/>
    <w:basedOn w:val="Normal"/>
    <w:uiPriority w:val="1"/>
    <w:qFormat/>
    <w:rsid w:val="00E60B42"/>
    <w:pPr>
      <w:widowControl w:val="0"/>
      <w:autoSpaceDE w:val="0"/>
      <w:autoSpaceDN w:val="0"/>
      <w:spacing w:line="273" w:lineRule="exact"/>
    </w:pPr>
    <w:rPr>
      <w:lang w:bidi="en-US"/>
    </w:rPr>
  </w:style>
  <w:style w:type="paragraph" w:styleId="Header">
    <w:name w:val="header"/>
    <w:basedOn w:val="Normal"/>
    <w:link w:val="HeaderChar"/>
    <w:uiPriority w:val="99"/>
    <w:unhideWhenUsed/>
    <w:rsid w:val="00E60B42"/>
    <w:pPr>
      <w:tabs>
        <w:tab w:val="center" w:pos="4513"/>
        <w:tab w:val="right" w:pos="9026"/>
      </w:tabs>
    </w:pPr>
    <w:rPr>
      <w:rFonts w:cs="Mangal"/>
      <w:szCs w:val="20"/>
    </w:rPr>
  </w:style>
  <w:style w:type="character" w:customStyle="1" w:styleId="HeaderChar">
    <w:name w:val="Header Char"/>
    <w:basedOn w:val="DefaultParagraphFont"/>
    <w:link w:val="Header"/>
    <w:uiPriority w:val="99"/>
    <w:rsid w:val="00E60B42"/>
    <w:rPr>
      <w:rFonts w:ascii="Times New Roman" w:eastAsia="Times New Roman" w:hAnsi="Times New Roman" w:cs="Mangal"/>
      <w:szCs w:val="20"/>
      <w:lang w:val="en-US" w:bidi="hi-IN"/>
    </w:rPr>
  </w:style>
  <w:style w:type="paragraph" w:styleId="Footer">
    <w:name w:val="footer"/>
    <w:basedOn w:val="Normal"/>
    <w:link w:val="FooterChar"/>
    <w:uiPriority w:val="99"/>
    <w:unhideWhenUsed/>
    <w:rsid w:val="00E60B42"/>
    <w:pPr>
      <w:tabs>
        <w:tab w:val="center" w:pos="4513"/>
        <w:tab w:val="right" w:pos="9026"/>
      </w:tabs>
    </w:pPr>
    <w:rPr>
      <w:rFonts w:cs="Mangal"/>
      <w:szCs w:val="20"/>
    </w:rPr>
  </w:style>
  <w:style w:type="character" w:customStyle="1" w:styleId="FooterChar">
    <w:name w:val="Footer Char"/>
    <w:basedOn w:val="DefaultParagraphFont"/>
    <w:link w:val="Footer"/>
    <w:uiPriority w:val="99"/>
    <w:rsid w:val="00E60B42"/>
    <w:rPr>
      <w:rFonts w:ascii="Times New Roman" w:eastAsia="Times New Roman" w:hAnsi="Times New Roman" w:cs="Mangal"/>
      <w:szCs w:val="20"/>
      <w:lang w:val="en-US" w:bidi="hi-IN"/>
    </w:rPr>
  </w:style>
  <w:style w:type="paragraph" w:customStyle="1" w:styleId="Default">
    <w:name w:val="Default"/>
    <w:rsid w:val="00E60B42"/>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rsid w:val="00E61868"/>
    <w:rPr>
      <w:rFonts w:ascii="Segoe UI" w:hAnsi="Segoe UI" w:cs="Mangal"/>
      <w:sz w:val="18"/>
      <w:szCs w:val="16"/>
    </w:rPr>
  </w:style>
  <w:style w:type="character" w:customStyle="1" w:styleId="BalloonTextChar">
    <w:name w:val="Balloon Text Char"/>
    <w:basedOn w:val="DefaultParagraphFont"/>
    <w:link w:val="BalloonText"/>
    <w:uiPriority w:val="99"/>
    <w:semiHidden/>
    <w:rsid w:val="00E61868"/>
    <w:rPr>
      <w:rFonts w:ascii="Segoe UI" w:eastAsia="Times New Roman"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TSC6</dc:creator>
  <cp:keywords/>
  <dc:description/>
  <cp:lastModifiedBy>TSC6</cp:lastModifiedBy>
  <cp:revision>2</cp:revision>
  <cp:lastPrinted>2024-12-13T10:22:00Z</cp:lastPrinted>
  <dcterms:created xsi:type="dcterms:W3CDTF">2024-12-13T10:07:00Z</dcterms:created>
  <dcterms:modified xsi:type="dcterms:W3CDTF">2024-12-13T10:23:00Z</dcterms:modified>
</cp:coreProperties>
</file>